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drawing>
          <wp:anchor behindDoc="1" distT="0" distB="0" distL="0" distR="0" simplePos="0" locked="0" layoutInCell="1" allowOverlap="1" relativeHeight="2">
            <wp:simplePos x="0" y="0"/>
            <wp:positionH relativeFrom="column">
              <wp:posOffset>2489835</wp:posOffset>
            </wp:positionH>
            <wp:positionV relativeFrom="paragraph">
              <wp:posOffset>-103505</wp:posOffset>
            </wp:positionV>
            <wp:extent cx="744220" cy="744220"/>
            <wp:effectExtent l="0" t="0" r="0" b="0"/>
            <wp:wrapNone/>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rcRect l="-97" t="-97" r="-97" b="-97"/>
                    <a:stretch>
                      <a:fillRect/>
                    </a:stretch>
                  </pic:blipFill>
                  <pic:spPr bwMode="auto">
                    <a:xfrm>
                      <a:off x="0" y="0"/>
                      <a:ext cx="744220" cy="744220"/>
                    </a:xfrm>
                    <a:prstGeom prst="rect">
                      <a:avLst/>
                    </a:prstGeom>
                  </pic:spPr>
                </pic:pic>
              </a:graphicData>
            </a:graphic>
          </wp:anchor>
        </w:drawing>
      </w:r>
    </w:p>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r>
    </w:p>
    <w:p>
      <w:pPr>
        <w:pStyle w:val="Normal"/>
        <w:spacing w:lineRule="auto" w:line="360"/>
        <w:jc w:val="center"/>
        <w:rPr>
          <w:rFonts w:ascii="Arial" w:hAnsi="Arial" w:cs="Arial"/>
          <w:b/>
          <w:bCs/>
          <w:iCs/>
          <w:color w:val="000000"/>
          <w:sz w:val="20"/>
          <w:szCs w:val="20"/>
        </w:rPr>
      </w:pPr>
      <w:r>
        <w:rPr>
          <w:rFonts w:cs="Arial" w:ascii="Arial" w:hAnsi="Arial"/>
          <w:b/>
          <w:bCs/>
          <w:iCs/>
          <w:color w:val="000000"/>
          <w:sz w:val="20"/>
          <w:szCs w:val="20"/>
        </w:rPr>
      </w:r>
    </w:p>
    <w:p>
      <w:pPr>
        <w:pStyle w:val="Normal"/>
        <w:jc w:val="center"/>
        <w:rPr/>
      </w:pPr>
      <w:r>
        <w:rPr>
          <w:rFonts w:cs="Times New Roman" w:ascii="Times New Roman" w:hAnsi="Times New Roman"/>
          <w:b/>
          <w:bCs/>
          <w:color w:val="000000"/>
          <w:sz w:val="20"/>
          <w:szCs w:val="20"/>
        </w:rPr>
        <w:t>MINISTÉRIO DA DEFESA</w:t>
      </w:r>
    </w:p>
    <w:p>
      <w:pPr>
        <w:pStyle w:val="Normal"/>
        <w:jc w:val="center"/>
        <w:rPr/>
      </w:pPr>
      <w:r>
        <w:rPr>
          <w:rFonts w:cs="Times New Roman" w:ascii="Times New Roman" w:hAnsi="Times New Roman"/>
          <w:b/>
          <w:bCs/>
          <w:color w:val="000000"/>
          <w:sz w:val="20"/>
          <w:szCs w:val="20"/>
        </w:rPr>
        <w:t>EXÉRCITO BRASILEIRO</w:t>
      </w:r>
    </w:p>
    <w:p>
      <w:pPr>
        <w:pStyle w:val="Normal"/>
        <w:jc w:val="center"/>
        <w:rPr/>
      </w:pPr>
      <w:r>
        <w:rPr>
          <w:rFonts w:cs="Times New Roman" w:ascii="Times New Roman" w:hAnsi="Times New Roman"/>
          <w:b/>
          <w:bCs/>
          <w:iCs/>
          <w:color w:val="000000"/>
          <w:sz w:val="20"/>
          <w:szCs w:val="20"/>
        </w:rPr>
        <w:t xml:space="preserve"> </w:t>
      </w:r>
      <w:r>
        <w:rPr>
          <w:rFonts w:cs="Times New Roman" w:ascii="Times New Roman" w:hAnsi="Times New Roman"/>
          <w:b/>
          <w:bCs/>
          <w:iCs/>
          <w:color w:val="000000"/>
          <w:sz w:val="20"/>
          <w:szCs w:val="20"/>
        </w:rPr>
        <w:t>BASE DE AVIAÇÃO DE TAUBATÉ</w:t>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r>
    </w:p>
    <w:p>
      <w:pPr>
        <w:pStyle w:val="Normal"/>
        <w:widowControl w:val="false"/>
        <w:spacing w:lineRule="auto" w:line="360"/>
        <w:ind w:hanging="0" w:right="-30"/>
        <w:jc w:val="center"/>
        <w:rPr/>
      </w:pPr>
      <w:r>
        <w:rPr>
          <w:rFonts w:cs="Arial" w:ascii="Arial" w:hAnsi="Arial"/>
          <w:b/>
          <w:i w:val="false"/>
          <w:sz w:val="20"/>
          <w:szCs w:val="20"/>
        </w:rPr>
        <w:t>ANEXO II</w:t>
      </w:r>
    </w:p>
    <w:p>
      <w:pPr>
        <w:pStyle w:val="Normal"/>
        <w:spacing w:lineRule="auto" w:line="360"/>
        <w:jc w:val="center"/>
        <w:rPr>
          <w:rFonts w:ascii="Arial" w:hAnsi="Arial" w:cs="Arial"/>
          <w:b/>
          <w:bCs/>
          <w:i/>
          <w:i/>
          <w:iCs/>
          <w:color w:val="FF0000"/>
          <w:sz w:val="20"/>
          <w:szCs w:val="20"/>
        </w:rPr>
      </w:pPr>
      <w:r>
        <w:rPr>
          <w:rFonts w:cs="Arial" w:ascii="Arial" w:hAnsi="Arial"/>
          <w:b/>
          <w:bCs/>
          <w:i/>
          <w:iCs/>
          <w:color w:val="FF0000"/>
          <w:sz w:val="20"/>
          <w:szCs w:val="20"/>
        </w:rPr>
      </w:r>
    </w:p>
    <w:p>
      <w:pPr>
        <w:pStyle w:val="Normal"/>
        <w:widowControl w:val="false"/>
        <w:spacing w:lineRule="auto" w:line="360"/>
        <w:ind w:hanging="0" w:right="-30"/>
        <w:jc w:val="center"/>
        <w:rPr>
          <w:rFonts w:ascii="Arial" w:hAnsi="Arial" w:cs="Arial"/>
          <w:sz w:val="20"/>
          <w:szCs w:val="20"/>
        </w:rPr>
      </w:pPr>
      <w:r>
        <w:rPr>
          <w:rFonts w:cs="Arial" w:ascii="Arial" w:hAnsi="Arial"/>
          <w:sz w:val="20"/>
          <w:szCs w:val="20"/>
        </w:rPr>
        <w:t xml:space="preserve">MINUTA DA ATA DE REGISTRO DE PREÇOS </w:t>
      </w:r>
    </w:p>
    <w:p>
      <w:pPr>
        <w:pStyle w:val="Normal"/>
        <w:widowControl w:val="false"/>
        <w:spacing w:lineRule="auto" w:line="360"/>
        <w:ind w:hanging="0" w:right="-30"/>
        <w:jc w:val="center"/>
        <w:rPr>
          <w:rFonts w:ascii="Arial" w:hAnsi="Arial" w:cs="Arial"/>
          <w:bCs/>
          <w:sz w:val="20"/>
          <w:szCs w:val="20"/>
        </w:rPr>
      </w:pPr>
      <w:r>
        <w:rPr>
          <w:rFonts w:cs="Arial" w:ascii="Arial" w:hAnsi="Arial"/>
          <w:b/>
          <w:bCs/>
          <w:i w:val="false"/>
          <w:sz w:val="20"/>
          <w:szCs w:val="20"/>
        </w:rPr>
        <w:t>N.º .........</w:t>
      </w:r>
    </w:p>
    <w:p>
      <w:pPr>
        <w:pStyle w:val="Normal"/>
        <w:widowControl w:val="false"/>
        <w:spacing w:lineRule="auto" w:line="360"/>
        <w:ind w:right="-30"/>
        <w:jc w:val="both"/>
        <w:rPr>
          <w:rFonts w:ascii="Arial" w:hAnsi="Arial" w:cs="Arial"/>
          <w:sz w:val="20"/>
          <w:szCs w:val="20"/>
        </w:rPr>
      </w:pPr>
      <w:r>
        <w:rPr>
          <w:rFonts w:cs="Arial" w:ascii="Arial" w:hAnsi="Arial"/>
          <w:sz w:val="20"/>
          <w:szCs w:val="20"/>
        </w:rPr>
      </w:r>
    </w:p>
    <w:p>
      <w:pPr>
        <w:pStyle w:val="Nivel01"/>
        <w:widowControl w:val="false"/>
        <w:numPr>
          <w:ilvl w:val="0"/>
          <w:numId w:val="0"/>
        </w:numPr>
        <w:tabs>
          <w:tab w:val="left" w:pos="567" w:leader="none"/>
          <w:tab w:val="center" w:pos="4779" w:leader="none"/>
          <w:tab w:val="right" w:pos="9198" w:leader="none"/>
        </w:tabs>
        <w:spacing w:lineRule="auto" w:line="276" w:before="120" w:after="120"/>
        <w:ind w:firstLine="567" w:left="0"/>
        <w:jc w:val="both"/>
        <w:rPr/>
      </w:pPr>
      <w:r>
        <w:rPr>
          <w:rFonts w:cs="Arial"/>
          <w:b w:val="false"/>
          <w:sz w:val="20"/>
          <w:szCs w:val="20"/>
        </w:rPr>
        <w:t xml:space="preserve">A </w:t>
      </w:r>
      <w:r>
        <w:rPr>
          <w:rFonts w:cs="Arial"/>
          <w:b w:val="false"/>
          <w:sz w:val="20"/>
          <w:szCs w:val="20"/>
          <w:lang w:eastAsia="ar-SA"/>
        </w:rPr>
        <w:t>Base de Aviação de Taubaté</w:t>
      </w:r>
      <w:r>
        <w:rPr>
          <w:rFonts w:cs="Arial"/>
          <w:b w:val="false"/>
          <w:sz w:val="20"/>
          <w:szCs w:val="20"/>
        </w:rPr>
        <w:t>, com sede n</w:t>
      </w:r>
      <w:r>
        <w:rPr>
          <w:rFonts w:cs="Arial"/>
          <w:b w:val="false"/>
          <w:sz w:val="20"/>
          <w:szCs w:val="20"/>
          <w:lang w:eastAsia="ar-SA"/>
        </w:rPr>
        <w:t xml:space="preserve">a </w:t>
      </w:r>
      <w:r>
        <w:rPr>
          <w:rFonts w:eastAsia="SimSun" w:cs="Arial"/>
          <w:b w:val="false"/>
          <w:kern w:val="2"/>
          <w:sz w:val="20"/>
          <w:szCs w:val="20"/>
          <w:lang w:eastAsia="zh-CN"/>
        </w:rPr>
        <w:t>Estrada Municipal dos Remédios, nº 2135, Bairro Itaim, Taubaté-SP, CEP 12086-000</w:t>
      </w:r>
      <w:r>
        <w:rPr>
          <w:rFonts w:cs="Arial"/>
          <w:b w:val="false"/>
          <w:sz w:val="20"/>
          <w:szCs w:val="20"/>
        </w:rPr>
        <w:t xml:space="preserve">, inscrito(a) no CNPJ sob o nº </w:t>
      </w:r>
      <w:r>
        <w:rPr>
          <w:rFonts w:cs="Arial"/>
          <w:b w:val="false"/>
          <w:sz w:val="20"/>
          <w:szCs w:val="20"/>
          <w:lang w:eastAsia="ar-SA"/>
        </w:rPr>
        <w:t>09.545.196/0001-74</w:t>
      </w:r>
      <w:r>
        <w:rPr>
          <w:rFonts w:cs="Arial"/>
          <w:b w:val="false"/>
          <w:sz w:val="20"/>
          <w:szCs w:val="20"/>
        </w:rPr>
        <w:t>, neste ato representado por WAGNER GONÇALVES DE SOUZA</w:t>
      </w:r>
      <w:r>
        <w:rPr>
          <w:rFonts w:cs="Arial"/>
          <w:b w:val="false"/>
          <w:sz w:val="20"/>
          <w:szCs w:val="20"/>
          <w:lang w:eastAsia="ar-SA"/>
        </w:rPr>
        <w:t xml:space="preserve"> – Coronel, Ordenador de Despesas, nomeado pelo Boletim Interno nº 11, de 16 de janeiro de 2023, portador da matrícula funcional nº ..................., considerando o julgamento da licitação na modalidade de pregão, na forma eletrônica, para REGISTRO DE PREÇOS nº 900</w:t>
      </w:r>
      <w:r>
        <w:rPr>
          <w:rFonts w:cs="Arial"/>
          <w:b w:val="false"/>
          <w:sz w:val="20"/>
          <w:szCs w:val="20"/>
          <w:lang w:eastAsia="ar-SA"/>
        </w:rPr>
        <w:t>46</w:t>
      </w:r>
      <w:r>
        <w:rPr>
          <w:rFonts w:cs="Arial"/>
          <w:b w:val="false"/>
          <w:sz w:val="20"/>
          <w:szCs w:val="20"/>
          <w:lang w:eastAsia="ar-SA"/>
        </w:rPr>
        <w:t>/2024 publicada no ...... de ...../...../20....., processo administrativo n.º 64009.00</w:t>
      </w:r>
      <w:r>
        <w:rPr>
          <w:rFonts w:cs="Arial"/>
          <w:b w:val="false"/>
          <w:sz w:val="20"/>
          <w:szCs w:val="20"/>
          <w:lang w:eastAsia="ar-SA"/>
        </w:rPr>
        <w:t>8176/2024-98</w:t>
      </w:r>
      <w:r>
        <w:rPr>
          <w:rFonts w:cs="Arial"/>
          <w:b w:val="false"/>
          <w:sz w:val="20"/>
          <w:szCs w:val="20"/>
          <w:lang w:eastAsia="ar-SA"/>
        </w:rPr>
        <w:t>, RESOLVE registrar os preços da(s) empresa(s) indicada(s) e qualificada(s) nesta ATA, de acordo com a classificação por ela(s) alcançada(s) e na(s) quantidade(s) cotada(s), atendendo as condições previstas no edital, sujeitando-se as partes às normas constantes na Lei nº 14.133, de 2021 e no Decreto n. 11.462, de 2023, e em conformidade às disposições a seguir:</w:t>
      </w:r>
    </w:p>
    <w:p>
      <w:pPr>
        <w:pStyle w:val="Nivel01"/>
        <w:numPr>
          <w:ilvl w:val="0"/>
          <w:numId w:val="1"/>
        </w:numPr>
        <w:ind w:hanging="0" w:left="0"/>
        <w:rPr/>
      </w:pPr>
      <w:r>
        <w:rPr/>
        <w:t>DO OBJETO</w:t>
      </w:r>
    </w:p>
    <w:p>
      <w:pPr>
        <w:pStyle w:val="Nivel2"/>
        <w:widowControl/>
        <w:numPr>
          <w:ilvl w:val="1"/>
          <w:numId w:val="1"/>
        </w:numPr>
        <w:bidi w:val="0"/>
        <w:spacing w:lineRule="auto" w:line="276" w:before="120" w:after="120"/>
        <w:ind w:hanging="454" w:left="454" w:right="0"/>
        <w:jc w:val="both"/>
        <w:rPr/>
      </w:pPr>
      <w:r>
        <w:rPr/>
        <w:t xml:space="preserve">A presente Ata tem por objeto o registro de preços para a eventual aquisição de medicamentos e correlatos especificados no Termo de Referência, </w:t>
      </w:r>
      <w:r>
        <w:rPr>
          <w:color w:themeColor="text1" w:val="000000"/>
        </w:rPr>
        <w:t>anexo I do Edital n. 900</w:t>
      </w:r>
      <w:r>
        <w:rPr>
          <w:color w:themeColor="text1" w:val="000000"/>
        </w:rPr>
        <w:t>46</w:t>
      </w:r>
      <w:r>
        <w:rPr>
          <w:color w:themeColor="text1" w:val="000000"/>
        </w:rPr>
        <w:t xml:space="preserve">/2024, que é </w:t>
      </w:r>
      <w:r>
        <w:rPr/>
        <w:t>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r>
        <w:rPr/>
        <w:t xml:space="preserve">O preço registrado, as especificações do objeto, as quantidades mínimas e máximas de cada item, fornecedor(es) e as demais condições ofertadas na(s) proposta(s) são as que seguem: </w:t>
      </w:r>
    </w:p>
    <w:tbl>
      <w:tblPr>
        <w:tblW w:w="9390"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358"/>
        <w:gridCol w:w="970"/>
        <w:gridCol w:w="913"/>
        <w:gridCol w:w="1119"/>
        <w:gridCol w:w="816"/>
        <w:gridCol w:w="815"/>
        <w:gridCol w:w="612"/>
        <w:gridCol w:w="1553"/>
        <w:gridCol w:w="1620"/>
        <w:gridCol w:w="613"/>
      </w:tblGrid>
      <w:tr>
        <w:trPr>
          <w:trHeight w:val="511" w:hRule="atLeast"/>
        </w:trPr>
        <w:tc>
          <w:tcPr>
            <w:tcW w:w="358"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TR</w:t>
            </w:r>
          </w:p>
        </w:tc>
        <w:tc>
          <w:tcPr>
            <w:tcW w:w="9031" w:type="dxa"/>
            <w:gridSpan w:val="9"/>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hanging="0" w:right="-30"/>
              <w:jc w:val="center"/>
              <w:rPr>
                <w:rFonts w:ascii="Arial" w:hAnsi="Arial" w:cs="Arial"/>
                <w:i/>
                <w:i/>
                <w:color w:val="FF0000"/>
                <w:sz w:val="20"/>
                <w:szCs w:val="20"/>
              </w:rPr>
            </w:pPr>
            <w:r>
              <w:rPr>
                <w:rFonts w:cs="Arial" w:ascii="Arial" w:hAnsi="Arial"/>
                <w:i w:val="false"/>
                <w:iCs w:val="false"/>
                <w:color w:val="000000"/>
                <w:sz w:val="20"/>
                <w:szCs w:val="20"/>
              </w:rPr>
              <w:t>Fornecedor</w:t>
            </w:r>
            <w:r>
              <w:rPr>
                <w:rFonts w:cs="Arial" w:ascii="Arial" w:hAnsi="Arial"/>
                <w:i/>
                <w:color w:val="FF0000"/>
                <w:sz w:val="20"/>
                <w:szCs w:val="20"/>
              </w:rPr>
              <w:t xml:space="preserve"> </w:t>
            </w:r>
            <w:r>
              <w:rPr>
                <w:rFonts w:cs="Arial" w:ascii="Arial" w:hAnsi="Arial"/>
                <w:i/>
                <w:color w:val="000000"/>
                <w:sz w:val="20"/>
                <w:szCs w:val="20"/>
              </w:rPr>
              <w:t>(razão social, CNPJ/MF, endereço, contatos, representante)</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tc>
      </w:tr>
      <w:tr>
        <w:trPr>
          <w:trHeight w:val="1383" w:hRule="atLeast"/>
        </w:trPr>
        <w:tc>
          <w:tcPr>
            <w:tcW w:w="358"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sz w:val="20"/>
                <w:szCs w:val="20"/>
              </w:rPr>
            </w:pPr>
            <w:r>
              <w:rPr>
                <w:rFonts w:cs="Arial" w:ascii="Arial" w:hAnsi="Arial"/>
                <w:sz w:val="20"/>
                <w:szCs w:val="20"/>
              </w:rPr>
              <w:t>X</w:t>
            </w:r>
          </w:p>
        </w:tc>
        <w:tc>
          <w:tcPr>
            <w:tcW w:w="97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t>Especificação</w:t>
            </w:r>
          </w:p>
        </w:tc>
        <w:tc>
          <w:tcPr>
            <w:tcW w:w="913"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(se exigida no edital)</w:t>
            </w:r>
          </w:p>
        </w:tc>
        <w:tc>
          <w:tcPr>
            <w:tcW w:w="1119"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(se exigido no edital)</w:t>
            </w:r>
          </w:p>
        </w:tc>
        <w:tc>
          <w:tcPr>
            <w:tcW w:w="816"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Unidade</w:t>
            </w:r>
          </w:p>
        </w:tc>
        <w:tc>
          <w:tcPr>
            <w:tcW w:w="815"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QuantidadeMáxima</w:t>
            </w:r>
          </w:p>
        </w:tc>
        <w:tc>
          <w:tcPr>
            <w:tcW w:w="612" w:type="dxa"/>
            <w:tcBorders>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Quantidade Mínima</w:t>
            </w:r>
          </w:p>
        </w:tc>
        <w:tc>
          <w:tcPr>
            <w:tcW w:w="1553"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Valor Un</w:t>
            </w:r>
          </w:p>
        </w:tc>
        <w:tc>
          <w:tcPr>
            <w:tcW w:w="1620"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Valor total</w:t>
            </w:r>
          </w:p>
        </w:tc>
        <w:tc>
          <w:tcPr>
            <w:tcW w:w="613" w:type="dxa"/>
            <w:tcBorders>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i/>
                <w:iCs/>
                <w:sz w:val="20"/>
                <w:szCs w:val="20"/>
              </w:rPr>
              <w:t>Prazo garantia ou validade</w:t>
            </w:r>
          </w:p>
        </w:tc>
      </w:tr>
      <w:tr>
        <w:trPr>
          <w:trHeight w:val="120" w:hRule="atLeast"/>
        </w:trPr>
        <w:tc>
          <w:tcPr>
            <w:tcW w:w="358"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97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91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81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81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61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55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6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61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r>
        <w:rPr>
          <w:lang w:eastAsia="en-US"/>
        </w:rPr>
        <w:t>A listagem do cadastro de reserva referente ao presente registro de preços consta como anexo a esta Ata.</w:t>
      </w:r>
    </w:p>
    <w:p>
      <w:pPr>
        <w:pStyle w:val="Nivel01"/>
        <w:numPr>
          <w:ilvl w:val="0"/>
          <w:numId w:val="1"/>
        </w:numPr>
        <w:ind w:hanging="0" w:left="0"/>
        <w:rPr/>
      </w:pPr>
      <w:r>
        <w:rPr/>
        <w:t>ÓRGÃO(S) GERENCIADOR E  PARTICIPANTE(S)</w:t>
      </w:r>
    </w:p>
    <w:p>
      <w:pPr>
        <w:pStyle w:val="Nivel2"/>
        <w:numPr>
          <w:ilvl w:val="1"/>
          <w:numId w:val="1"/>
        </w:numPr>
        <w:ind w:hanging="0" w:left="0"/>
        <w:rPr/>
      </w:pPr>
      <w:bookmarkStart w:id="0" w:name="__DdeLink__6127_3757949444"/>
      <w:r>
        <w:rPr/>
        <w:t>O órgão gerenciador será a Base de Aviação de Taubaté (160518)</w:t>
      </w:r>
      <w:bookmarkEnd w:id="0"/>
    </w:p>
    <w:p>
      <w:pPr>
        <w:pStyle w:val="Nivel01"/>
        <w:numPr>
          <w:ilvl w:val="0"/>
          <w:numId w:val="1"/>
        </w:numPr>
        <w:ind w:hanging="0" w:left="0"/>
        <w:rPr>
          <w:i/>
          <w:i/>
          <w:color w:val="FF0000"/>
        </w:rPr>
      </w:pPr>
      <w:r>
        <w:rPr/>
        <w:t>DA ADESÃO À ATA DE REGISTRO DE PREÇOS</w:t>
      </w:r>
    </w:p>
    <w:p>
      <w:pPr>
        <w:pStyle w:val="Nvel2-Red"/>
        <w:numPr>
          <w:ilvl w:val="1"/>
          <w:numId w:val="1"/>
        </w:numPr>
        <w:ind w:hanging="0" w:left="0"/>
        <w:rPr>
          <w:i w:val="false"/>
          <w:i w:val="false"/>
          <w:iCs w:val="false"/>
          <w:color w:val="000000"/>
        </w:rPr>
      </w:pPr>
      <w:r>
        <w:rPr>
          <w:i w:val="false"/>
          <w:iCs w:val="false"/>
          <w:color w:val="000000"/>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i w:val="false"/>
          <w:i w:val="false"/>
          <w:iCs w:val="false"/>
          <w:color w:val="000000"/>
        </w:rPr>
      </w:pPr>
      <w:r>
        <w:rPr>
          <w:i w:val="false"/>
          <w:iCs w:val="false"/>
          <w:color w:val="000000"/>
        </w:rPr>
        <w:t>apresentação de justificativa da vantagem da adesão, inclusive em situações de provável desabastecimento ou descontinuidade de serviço público;</w:t>
      </w:r>
    </w:p>
    <w:p>
      <w:pPr>
        <w:pStyle w:val="Nvel3-R"/>
        <w:numPr>
          <w:ilvl w:val="2"/>
          <w:numId w:val="1"/>
        </w:numPr>
        <w:ind w:hanging="0" w:left="284"/>
        <w:rPr>
          <w:i w:val="false"/>
          <w:i w:val="false"/>
          <w:iCs w:val="false"/>
          <w:color w:val="000000"/>
        </w:rPr>
      </w:pPr>
      <w:r>
        <w:rPr>
          <w:i w:val="false"/>
          <w:iCs w:val="false"/>
          <w:color w:val="000000"/>
        </w:rPr>
        <w:t xml:space="preserve"> </w:t>
      </w:r>
      <w:r>
        <w:rPr>
          <w:i w:val="false"/>
          <w:iCs w:val="false"/>
          <w:color w:val="000000"/>
        </w:rPr>
        <w:t>demonstração de que os valores registrados estão compatíveis com os valores praticados pelo mercado na forma do art. 23 da Lei nº 14.133, de 2021; e</w:t>
      </w:r>
    </w:p>
    <w:p>
      <w:pPr>
        <w:pStyle w:val="Nvel3-R"/>
        <w:numPr>
          <w:ilvl w:val="2"/>
          <w:numId w:val="1"/>
        </w:numPr>
        <w:ind w:hanging="0" w:left="284"/>
        <w:rPr>
          <w:i w:val="false"/>
          <w:i w:val="false"/>
          <w:iCs w:val="false"/>
          <w:color w:val="000000"/>
        </w:rPr>
      </w:pPr>
      <w:r>
        <w:rPr>
          <w:i w:val="false"/>
          <w:iCs w:val="false"/>
          <w:color w:val="000000"/>
        </w:rPr>
        <w:t xml:space="preserve"> </w:t>
      </w:r>
      <w:r>
        <w:rPr>
          <w:i w:val="false"/>
          <w:iCs w:val="false"/>
          <w:color w:val="000000"/>
        </w:rPr>
        <w:t>consulta e aceitação prévias do órgão ou da entidade gerenciadora e do fornecedor.</w:t>
      </w:r>
    </w:p>
    <w:p>
      <w:pPr>
        <w:pStyle w:val="Nvel2-Red"/>
        <w:numPr>
          <w:ilvl w:val="1"/>
          <w:numId w:val="1"/>
        </w:numPr>
        <w:ind w:hanging="0" w:left="0"/>
        <w:rPr>
          <w:i w:val="false"/>
          <w:i w:val="false"/>
          <w:iCs w:val="false"/>
          <w:color w:val="000000"/>
        </w:rPr>
      </w:pPr>
      <w:r>
        <w:rPr>
          <w:i w:val="false"/>
          <w:iCs w:val="false"/>
          <w:color w:val="000000"/>
        </w:rPr>
        <w:t>A autorização do órgão ou entidade gerenciadora apenas será realizada após a aceitação da adesão pelo fornecedor.</w:t>
      </w:r>
    </w:p>
    <w:p>
      <w:pPr>
        <w:pStyle w:val="Nvel3-R"/>
        <w:numPr>
          <w:ilvl w:val="2"/>
          <w:numId w:val="1"/>
        </w:numPr>
        <w:ind w:hanging="0" w:left="284"/>
        <w:rPr>
          <w:i w:val="false"/>
          <w:i w:val="false"/>
          <w:iCs w:val="false"/>
          <w:color w:val="000000"/>
        </w:rPr>
      </w:pPr>
      <w:r>
        <w:rPr>
          <w:i w:val="false"/>
          <w:iCs w:val="false"/>
          <w:color w:val="000000"/>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i w:val="false"/>
          <w:i w:val="false"/>
          <w:iCs w:val="false"/>
          <w:color w:val="000000"/>
        </w:rPr>
      </w:pPr>
      <w:r>
        <w:rPr>
          <w:i w:val="false"/>
          <w:iCs w:val="false"/>
          <w:color w:val="000000"/>
        </w:rPr>
        <w:t xml:space="preserve"> </w:t>
      </w:r>
      <w:r>
        <w:rPr>
          <w:i w:val="false"/>
          <w:iCs w:val="false"/>
          <w:color w:val="000000"/>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i w:val="false"/>
          <w:i w:val="false"/>
          <w:iCs w:val="false"/>
          <w:color w:val="000000"/>
        </w:rPr>
      </w:pPr>
      <w:r>
        <w:rPr>
          <w:i w:val="false"/>
          <w:iCs w:val="false"/>
          <w:color w:val="000000"/>
        </w:rPr>
        <w:t xml:space="preserve"> </w:t>
      </w:r>
      <w:r>
        <w:rPr>
          <w:i w:val="false"/>
          <w:iCs w:val="false"/>
          <w:color w:val="000000"/>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i w:val="false"/>
          <w:i w:val="false"/>
          <w:iCs w:val="false"/>
          <w:color w:val="000000"/>
        </w:rPr>
      </w:pPr>
      <w:r>
        <w:rPr>
          <w:i w:val="false"/>
          <w:iCs w:val="false"/>
          <w:color w:val="000000"/>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i w:val="false"/>
          <w:i w:val="false"/>
          <w:iCs w:val="false"/>
          <w:color w:val="000000"/>
        </w:rPr>
      </w:pPr>
      <w:r>
        <w:rPr>
          <w:i w:val="false"/>
          <w:iCs w:val="false"/>
          <w:color w:val="000000"/>
        </w:rPr>
        <w:t>Dos limites para as adesões</w:t>
      </w:r>
    </w:p>
    <w:p>
      <w:pPr>
        <w:pStyle w:val="Nvel2-Red"/>
        <w:numPr>
          <w:ilvl w:val="1"/>
          <w:numId w:val="1"/>
        </w:numPr>
        <w:ind w:hanging="0" w:left="0"/>
        <w:rPr>
          <w:i w:val="false"/>
          <w:i w:val="false"/>
          <w:iCs w:val="false"/>
          <w:color w:val="000000"/>
        </w:rPr>
      </w:pPr>
      <w:r>
        <w:rPr>
          <w:i w:val="false"/>
          <w:iCs w:val="false"/>
          <w:color w:val="000000"/>
        </w:rPr>
        <w:t>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1"/>
          <w:numId w:val="1"/>
        </w:numPr>
        <w:ind w:hanging="0" w:left="0"/>
        <w:rPr>
          <w:i w:val="false"/>
          <w:i w:val="false"/>
          <w:iCs w:val="false"/>
          <w:color w:val="000000"/>
        </w:rPr>
      </w:pPr>
      <w:r>
        <w:rPr>
          <w:i w:val="false"/>
          <w:iCs w:val="false"/>
          <w:color w:val="000000"/>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i w:val="false"/>
          <w:i w:val="false"/>
          <w:iCs w:val="false"/>
          <w:color w:val="000000"/>
        </w:rPr>
      </w:pPr>
      <w:r>
        <w:rPr>
          <w:i w:val="false"/>
          <w:iCs w:val="false"/>
          <w:color w:val="000000"/>
        </w:rPr>
        <w:t>Para aquisição emergencial de medicamentos e material de consumo médico-hospitalar por órgãos e en</w:t>
      </w:r>
      <w:r>
        <w:rPr>
          <w:rFonts w:eastAsia="Arial"/>
          <w:i w:val="false"/>
          <w:iCs w:val="false"/>
          <w:color w:val="000000"/>
        </w:rPr>
        <w:t>ti</w:t>
      </w:r>
      <w:r>
        <w:rPr>
          <w:i w:val="false"/>
          <w:iCs w:val="false"/>
          <w:color w:val="000000"/>
        </w:rPr>
        <w:t>dades da Administração Pública federal, estadual, distrital e municipal, a adesão à ata de registro de preços gerenciada pelo Ministério da Saúde não estará sujeita ao limite previsto no item 4.7.</w:t>
      </w:r>
    </w:p>
    <w:p>
      <w:pPr>
        <w:pStyle w:val="Nivel2"/>
        <w:numPr>
          <w:ilvl w:val="1"/>
          <w:numId w:val="1"/>
        </w:numPr>
        <w:ind w:hanging="0" w:left="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iCs/>
        </w:rPr>
      </w:pPr>
      <w:r>
        <w:rPr/>
        <w:t>A validade da Ata de Registro de Preços será de 1 (um) ano, contado a partir do primeiro dia útil subsequente à data de divulgação no PNCP.</w:t>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 xml:space="preserve">vos do adjudicatário, devendo ser observada a possibilidade de o licitante oferecer ou não proposta em quantitativo inferior ao máximo previsto </w:t>
      </w:r>
      <w:r>
        <w:rPr>
          <w:i w:val="false"/>
          <w:iCs w:val="false"/>
          <w:color w:val="000000"/>
        </w:rPr>
        <w:t>no edital</w:t>
      </w:r>
      <w:r>
        <w:rPr>
          <w:color w:val="FF0000"/>
        </w:rPr>
        <w:t xml:space="preserve"> </w:t>
      </w:r>
      <w:r>
        <w:rPr/>
        <w:t>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1" w:name="cadastro_reserva"/>
      <w:bookmarkEnd w:id="1"/>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 xml:space="preserve">Quando o licitante vencedor não assinar a ata de registro de preços, no prazo e nas condições estabelecidos </w:t>
      </w:r>
      <w:r>
        <w:rPr>
          <w:i w:val="false"/>
          <w:iCs w:val="false"/>
          <w:color w:val="000000"/>
        </w:rPr>
        <w:t>no edital</w:t>
      </w:r>
      <w:r>
        <w:rPr>
          <w:i/>
          <w:iCs/>
          <w:color w:val="FF0000"/>
        </w:rPr>
        <w:t>;</w:t>
      </w:r>
      <w:r>
        <w:rPr>
          <w:color w:val="FF0000"/>
        </w:rPr>
        <w:t xml:space="preserve"> </w:t>
      </w:r>
      <w:r>
        <w:rPr/>
        <w:t>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\r \h </w:instrText>
      </w:r>
      <w:r>
        <w:rPr/>
        <w:fldChar w:fldCharType="separate"/>
      </w:r>
      <w:r>
        <w:rPr/>
        <w:t>Erro: Origem da referência não encontrada</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w:t>
      </w:r>
      <w:r>
        <w:rPr>
          <w:i w:val="false"/>
          <w:iCs w:val="false"/>
          <w:color w:val="000000"/>
        </w:rPr>
        <w:t>do edital</w:t>
      </w:r>
      <w:r>
        <w:rPr/>
        <w:t>, poderá: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 xml:space="preserve">Em caso de força maior, caso fortuito ou fato do príncipe ou em decorrência de fatos imprevisíveis ou previsíveis de consequências incalculáveis, que inviabilizem a execução da ata tal como pactuada, nos termos da </w:t>
      </w:r>
      <w:r>
        <w:rPr>
          <w:color w:val="0000EF"/>
        </w:rPr>
        <w:t>alínea “d” do inciso II do caput do art. 124 da Lei nº 14.133, de 2021;</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1"/>
        </w:numPr>
        <w:ind w:hanging="0" w:left="284"/>
        <w:rPr/>
      </w:pPr>
      <w:r>
        <w:rPr/>
        <w:t>Não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7.2</w:t>
      </w:r>
      <w:r>
        <w:rPr/>
        <w:fldChar w:fldCharType="end"/>
      </w:r>
      <w:r>
        <w:rPr/>
        <w:t xml:space="preserve"> e no item </w:t>
      </w:r>
      <w:r>
        <w:rPr/>
        <w:fldChar w:fldCharType="begin"/>
      </w:r>
      <w:r>
        <w:rPr/>
        <w:instrText xml:space="preserve"> REF prova_preco_mercado_maior \r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r>
        <w:rPr/>
        <w:t>REMANEJAMENTO DAS QUANTIDADES REGISTRADAS NA ATA DE REGISTRO DE PREÇOS</w:t>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5" w:name="gerenciador_estimador_é_partic_em_remane"/>
      <w:bookmarkEnd w:id="5"/>
    </w:p>
    <w:p>
      <w:pPr>
        <w:pStyle w:val="Nivel2"/>
        <w:numPr>
          <w:ilvl w:val="1"/>
          <w:numId w:val="1"/>
        </w:numPr>
        <w:ind w:hanging="0" w:left="0"/>
        <w:rPr/>
      </w:pPr>
      <w:r>
        <w:rPr/>
        <w:t>Na hipótese de remanejamento de órgão ou entidade par</w:t>
      </w:r>
      <w:r>
        <w:rPr>
          <w:rFonts w:eastAsia="Arial"/>
        </w:rPr>
        <w:t>ti</w:t>
      </w:r>
      <w:r>
        <w:rPr/>
        <w:t>cipante para órgão ou entidade não participante, serão observados os limites previstos no art. 32 do Decreto nº 11.462, de 2023.</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6" w:name="cancelamento"/>
      <w:bookmarkEnd w:id="6"/>
    </w:p>
    <w:p>
      <w:pPr>
        <w:pStyle w:val="Nivel2"/>
        <w:numPr>
          <w:ilvl w:val="1"/>
          <w:numId w:val="1"/>
        </w:numPr>
        <w:ind w:hanging="0" w:left="0"/>
        <w:rPr/>
      </w:pPr>
      <w:r>
        <w:rPr/>
        <w:t>O registro do fornecedor será cancelado pelo gerenciador, quando o fornecedor:</w:t>
      </w:r>
      <w:bookmarkStart w:id="7" w:name="cancelamento_do_fornecedor"/>
      <w:bookmarkEnd w:id="7"/>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estabelecidas </w:t>
      </w:r>
      <w:r>
        <w:rPr>
          <w:i w:val="false"/>
          <w:iCs w:val="false"/>
          <w:color w:val="000000"/>
        </w:rPr>
        <w:t>no edital</w:t>
      </w:r>
      <w:r>
        <w:rPr/>
        <w:t>.</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A</w:t>
      </w:r>
      <w:r>
        <w:rPr>
          <w:i w:val="false"/>
          <w:iCs w:val="false"/>
          <w:color w:val="000000"/>
        </w:rPr>
        <w:t>s condições gerais de execução do objeto, tais como os prazos para entrega e recebimento, as obrigações da Administração e do fornecedor registrado, penalidades e demais condições do ajuste, encontram-se definidos no Termo de Referência, ANEXO I</w:t>
      </w:r>
      <w:r>
        <w:rPr>
          <w:b w:val="false"/>
          <w:bCs w:val="false"/>
          <w:i w:val="false"/>
          <w:iCs w:val="false"/>
          <w:color w:val="000000"/>
        </w:rPr>
        <w:t xml:space="preserve"> AO EDITAL</w:t>
      </w:r>
      <w:r>
        <w:rPr>
          <w:i w:val="false"/>
          <w:iCs w:val="false"/>
          <w:color w:val="000000"/>
        </w:rPr>
        <w:t>.</w:t>
      </w:r>
    </w:p>
    <w:p>
      <w:pPr>
        <w:pStyle w:val="Normal"/>
        <w:widowControl w:val="false"/>
        <w:numPr>
          <w:ilvl w:val="0"/>
          <w:numId w:val="1"/>
        </w:numPr>
        <w:spacing w:lineRule="auto" w:line="276" w:before="120" w:after="120"/>
        <w:jc w:val="both"/>
        <w:rPr>
          <w:i w:val="false"/>
          <w:i w:val="false"/>
          <w:iCs w:val="false"/>
          <w:color w:val="000000"/>
        </w:rPr>
      </w:pPr>
      <w:r>
        <w:rPr>
          <w:rFonts w:cs="Arial" w:ascii="Arial" w:hAnsi="Arial"/>
          <w:i w:val="false"/>
          <w:iCs w:val="false"/>
          <w:color w:val="000000"/>
          <w:sz w:val="20"/>
          <w:szCs w:val="20"/>
        </w:rPr>
        <w:t xml:space="preserve">Para firmeza e validade do pactuado, a presente Ata foi lavrada em 2 (duas) vias de igual teor, que, depois de lida e achada em ordem, vai assinada pelas partes. </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Anexo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sz w:val="20"/>
                <w:szCs w:val="20"/>
              </w:rPr>
            </w:pPr>
            <w:r>
              <w:rPr>
                <w:rFonts w:cs="Arial" w:ascii="Arial" w:hAnsi="Arial"/>
                <w:sz w:val="20"/>
                <w:szCs w:val="20"/>
              </w:rPr>
              <w:t>X</w:t>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360"/>
              <w:ind w:right="-30"/>
              <w:jc w:val="center"/>
              <w:rPr>
                <w:rFonts w:ascii="Arial" w:hAnsi="Arial" w:cs="Arial"/>
                <w:sz w:val="20"/>
                <w:szCs w:val="20"/>
              </w:rPr>
            </w:pPr>
            <w:r>
              <w:rPr>
                <w:rFonts w:cs="Arial" w:ascii="Arial" w:hAnsi="Arial"/>
                <w:sz w:val="20"/>
                <w:szCs w:val="20"/>
              </w:rPr>
              <w:t>Item</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do</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i/>
                <w:i/>
                <w:color w:val="FF0000"/>
                <w:sz w:val="20"/>
                <w:szCs w:val="20"/>
              </w:rPr>
            </w:pPr>
            <w:r>
              <w:rPr>
                <w:rFonts w:cs="Arial" w:ascii="Arial" w:hAnsi="Arial"/>
                <w:sz w:val="20"/>
                <w:szCs w:val="20"/>
              </w:rPr>
              <w:t xml:space="preserve">Fornecedor </w:t>
            </w:r>
            <w:r>
              <w:rPr>
                <w:rFonts w:cs="Arial" w:ascii="Arial" w:hAnsi="Arial"/>
                <w:i/>
                <w:color w:val="FF0000"/>
                <w:sz w:val="20"/>
                <w:szCs w:val="20"/>
              </w:rPr>
              <w:t>(razão social, CNPJ/MF, endereço, contatos, representante)</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sz w:val="20"/>
                <w:szCs w:val="20"/>
              </w:rPr>
            </w:pPr>
            <w:r>
              <w:rPr>
                <w:rFonts w:cs="Arial" w:ascii="Arial" w:hAnsi="Arial"/>
                <w:sz w:val="20"/>
                <w:szCs w:val="20"/>
              </w:rPr>
              <w:t>X</w:t>
            </w:r>
          </w:p>
        </w:tc>
        <w:tc>
          <w:tcPr>
            <w:tcW w:w="113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Marca</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Modelo</w:t>
            </w:r>
          </w:p>
          <w:p>
            <w:pPr>
              <w:pStyle w:val="Normal"/>
              <w:widowControl w:val="false"/>
              <w:spacing w:lineRule="auto" w:line="360"/>
              <w:ind w:right="-30"/>
              <w:jc w:val="center"/>
              <w:rPr>
                <w:rFonts w:ascii="Arial" w:hAnsi="Arial" w:cs="Arial"/>
                <w:i/>
                <w:i/>
                <w:iCs/>
                <w:sz w:val="20"/>
                <w:szCs w:val="20"/>
              </w:rPr>
            </w:pPr>
            <w:r>
              <w:rPr>
                <w:rFonts w:cs="Arial" w:ascii="Arial" w:hAnsi="Arial"/>
                <w:i/>
                <w:iCs/>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Unidade</w:t>
            </w:r>
          </w:p>
        </w:tc>
        <w:tc>
          <w:tcPr>
            <w:tcW w:w="1119"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Quantidade Mínima</w:t>
            </w:r>
          </w:p>
        </w:tc>
        <w:tc>
          <w:tcPr>
            <w:tcW w:w="839" w:type="dxa"/>
            <w:tcBorders>
              <w:left w:val="single" w:sz="2" w:space="0" w:color="000000"/>
              <w:bottom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center"/>
              <w:rPr>
                <w:rFonts w:ascii="Arial" w:hAnsi="Arial" w:cs="Arial"/>
                <w:sz w:val="20"/>
                <w:szCs w:val="20"/>
              </w:rPr>
            </w:pPr>
            <w:r>
              <w:rPr>
                <w:rFonts w:cs="Arial" w:ascii="Arial" w:hAnsi="Arial"/>
                <w:i/>
                <w:iCs/>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3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20"/>
                <w:szCs w:val="20"/>
              </w:rPr>
            </w:pPr>
            <w:r>
              <w:rPr>
                <w:rFonts w:cs="Arial" w:ascii="Arial" w:hAnsi="Arial"/>
                <w:sz w:val="20"/>
                <w:szCs w:val="20"/>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footerReference w:type="even" r:id="rId3"/>
      <w:footerReference w:type="default" r:id="rId4"/>
      <w:footerReference w:type="first" r:id="rId5"/>
      <w:type w:val="nextPage"/>
      <w:pgSz w:w="11906" w:h="16838"/>
      <w:pgMar w:left="1701" w:right="1134" w:gutter="0" w:header="0" w:top="1418" w:footer="708"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 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Arial" w:hAnsi="Arial" w:cs="Arial"/>
        <w:sz w:val="12"/>
        <w:szCs w:val="12"/>
      </w:rPr>
    </w:pPr>
    <w:r>
      <w:rPr>
        <w:rFonts w:cs="Arial" w:ascii="Arial" w:hAnsi="Arial"/>
        <w:sz w:val="12"/>
        <w:szCs w:val="12"/>
      </w:rPr>
      <w:t>Identidade visual pela Secretaria de Gestão e Inovação</w:t>
    </w:r>
  </w:p>
  <w:p>
    <w:pPr>
      <w:pStyle w:val="Footer"/>
      <w:rPr>
        <w:rFonts w:ascii="Arial" w:hAnsi="Arial" w:cs="Arial"/>
        <w:sz w:val="12"/>
        <w:szCs w:val="12"/>
      </w:rPr>
    </w:pPr>
    <w:r>
      <w:rPr>
        <w:rFonts w:cs="Arial" w:ascii="Arial" w:hAnsi="Arial"/>
        <w:sz w:val="12"/>
        <w:szCs w:val="1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 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Arial" w:hAnsi="Arial" w:cs="Arial"/>
        <w:sz w:val="12"/>
        <w:szCs w:val="12"/>
      </w:rPr>
    </w:pPr>
    <w:r>
      <w:rPr>
        <w:rFonts w:cs="Arial" w:ascii="Arial" w:hAnsi="Arial"/>
        <w:sz w:val="12"/>
        <w:szCs w:val="12"/>
      </w:rPr>
      <w:t>Identidade visual pela Secretaria de Gestão e Inovação</w:t>
    </w:r>
  </w:p>
  <w:p>
    <w:pPr>
      <w:pStyle w:val="Footer"/>
      <w:rPr>
        <w:rFonts w:ascii="Arial" w:hAnsi="Arial" w:cs="Arial"/>
        <w:sz w:val="12"/>
        <w:szCs w:val="12"/>
      </w:rPr>
    </w:pPr>
    <w:r>
      <w:rPr>
        <w:rFonts w:cs="Arial" w:ascii="Arial" w:hAnsi="Arial"/>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A1BF10-BA21-41FC-B966-68D460302E98}"/>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384269E5-3F4A-46A6-9868-DF427E392CE8}"/>
</file>

<file path=customXml/itemProps4.xml><?xml version="1.0" encoding="utf-8"?>
<ds:datastoreItem xmlns:ds="http://schemas.openxmlformats.org/officeDocument/2006/customXml" ds:itemID="{2E413F30-1464-43D5-A034-C65A5C7E8894}"/>
</file>

<file path=docProps/app.xml><?xml version="1.0" encoding="utf-8"?>
<Properties xmlns="http://schemas.openxmlformats.org/officeDocument/2006/extended-properties" xmlns:vt="http://schemas.openxmlformats.org/officeDocument/2006/docPropsVTypes">
  <Template>Normal.dotm</Template>
  <TotalTime>27</TotalTime>
  <Application>LibreOffice/24.2.1.2$Windows_X86_64 LibreOffice_project/db4def46b0453cc22e2d0305797cf981b68ef5ac</Application>
  <AppVersion>15.0000</AppVersion>
  <Pages>8</Pages>
  <Words>3321</Words>
  <Characters>18496</Characters>
  <CharactersWithSpaces>21573</CharactersWithSpaces>
  <Paragraphs>174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2023-05-20T12:12:00Z</dcterms:created>
  <dc:creator/>
  <dc:description/>
  <dc:language>pt-BR</dc:language>
  <cp:lastModifiedBy/>
  <dcterms:modified xsi:type="dcterms:W3CDTF">2024-07-31T10:20:55Z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